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bookmarkStart w:id="1" w:name="_GoBack"/>
      <w:bookmarkEnd w:id="1"/>
    </w:p>
    <w:p w14:paraId="683C1D51" w14:textId="2821DB62"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35EA130C" w:rsidR="008F69F1" w:rsidRPr="008F69F1" w:rsidRDefault="001356FD"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58752" behindDoc="0" locked="0" layoutInCell="1" allowOverlap="1" wp14:anchorId="637A7E4A" wp14:editId="1903B4B8">
                <wp:simplePos x="0" y="0"/>
                <wp:positionH relativeFrom="margin">
                  <wp:posOffset>1067008</wp:posOffset>
                </wp:positionH>
                <wp:positionV relativeFrom="paragraph">
                  <wp:posOffset>3810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553B0D62"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6E7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Case Manager </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84pt;margin-top:.3pt;width:2in;height:2in;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" filled="f" stroked="f">
                <v:textbox style="mso-fit-shape-to-text:t">
                  <w:txbxContent>
                    <w:p w14:paraId="4B0D344F" w14:textId="553B0D62"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6E7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Case Manager </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0B4DF857" w14:textId="77777777" w:rsidR="00B45D41" w:rsidRPr="00B45D41" w:rsidRDefault="00B45D41" w:rsidP="00B45D41">
      <w:pPr>
        <w:pStyle w:val="NormalWeb"/>
        <w:shd w:val="clear" w:color="auto" w:fill="FFFFFF"/>
        <w:spacing w:before="0" w:beforeAutospacing="0" w:after="150" w:afterAutospacing="0"/>
        <w:rPr>
          <w:rFonts w:asciiTheme="minorHAnsi" w:hAnsiTheme="minorHAnsi" w:cstheme="minorHAnsi"/>
          <w:sz w:val="22"/>
          <w:szCs w:val="22"/>
          <w:u w:val="single"/>
        </w:rPr>
      </w:pPr>
      <w:r w:rsidRPr="00B45D41">
        <w:rPr>
          <w:rFonts w:asciiTheme="minorHAnsi" w:hAnsiTheme="minorHAnsi" w:cstheme="minorHAnsi"/>
          <w:b/>
          <w:bCs/>
          <w:sz w:val="22"/>
          <w:szCs w:val="22"/>
          <w:u w:val="single"/>
        </w:rPr>
        <w:t>Program Summary:</w:t>
      </w:r>
    </w:p>
    <w:p w14:paraId="14A020C2" w14:textId="77777777" w:rsidR="001C21CF" w:rsidRDefault="001C21CF" w:rsidP="00B45D41">
      <w:pPr>
        <w:pStyle w:val="NormalWeb"/>
        <w:shd w:val="clear" w:color="auto" w:fill="FFFFFF"/>
        <w:spacing w:before="0" w:beforeAutospacing="0" w:after="150" w:afterAutospacing="0"/>
        <w:rPr>
          <w:rFonts w:asciiTheme="minorHAnsi" w:hAnsiTheme="minorHAnsi" w:cstheme="minorHAnsi"/>
          <w:color w:val="2D2D2D"/>
          <w:sz w:val="22"/>
          <w:szCs w:val="22"/>
        </w:rPr>
      </w:pPr>
      <w:r w:rsidRPr="001C21CF">
        <w:rPr>
          <w:rFonts w:asciiTheme="minorHAnsi" w:hAnsiTheme="minorHAnsi" w:cstheme="minorHAnsi"/>
          <w:color w:val="2D2D2D"/>
          <w:sz w:val="22"/>
          <w:szCs w:val="22"/>
        </w:rPr>
        <w:t xml:space="preserve">The </w:t>
      </w:r>
      <w:r w:rsidRPr="001C21CF">
        <w:rPr>
          <w:rFonts w:asciiTheme="minorHAnsi" w:hAnsiTheme="minorHAnsi" w:cstheme="minorHAnsi"/>
          <w:b/>
          <w:color w:val="2D2D2D"/>
          <w:sz w:val="22"/>
          <w:szCs w:val="22"/>
        </w:rPr>
        <w:t>Children's In-Home Crisis Stabilization Program</w:t>
      </w:r>
      <w:r w:rsidRPr="001C21CF">
        <w:rPr>
          <w:rFonts w:asciiTheme="minorHAnsi" w:hAnsiTheme="minorHAnsi" w:cstheme="minorHAnsi"/>
          <w:color w:val="2D2D2D"/>
          <w:sz w:val="22"/>
          <w:szCs w:val="22"/>
        </w:rPr>
        <w:t xml:space="preserve"> serves children up to age 18 who are at risk through suicidal or homicidal thoughts, yet don’t meet the criteria for hospitalization. The goal of the program is to diffuse the crisis, promote a healthy family, prevent self-harm (suicide), and keep the family unit together. Program services are field-based and include short term in-home therapy (individual and group), case management, and mental health rehabilitation with a focus on maintaining family stabilization and preventing hospitalization.</w:t>
      </w:r>
    </w:p>
    <w:p w14:paraId="77C9ACEC" w14:textId="77777777" w:rsidR="00555709" w:rsidRPr="00946E7C" w:rsidRDefault="00555709" w:rsidP="00555709">
      <w:pPr>
        <w:rPr>
          <w:rFonts w:asciiTheme="minorHAnsi" w:hAnsiTheme="minorHAnsi" w:cstheme="minorHAnsi"/>
          <w:b/>
          <w:bCs/>
          <w:sz w:val="20"/>
          <w:szCs w:val="22"/>
          <w:u w:val="single"/>
        </w:rPr>
      </w:pPr>
    </w:p>
    <w:p w14:paraId="1C2B7343" w14:textId="77777777" w:rsidR="00946E7C" w:rsidRPr="00946E7C" w:rsidRDefault="00946E7C" w:rsidP="00946E7C">
      <w:pPr>
        <w:rPr>
          <w:rFonts w:ascii="Calibri" w:eastAsia="Calibri" w:hAnsi="Calibri" w:cs="Calibri"/>
          <w:b/>
          <w:bCs/>
          <w:sz w:val="22"/>
          <w:u w:val="single"/>
        </w:rPr>
      </w:pPr>
      <w:r w:rsidRPr="00946E7C">
        <w:rPr>
          <w:rFonts w:ascii="Calibri" w:eastAsia="Calibri" w:hAnsi="Calibri" w:cs="Calibri"/>
          <w:b/>
          <w:bCs/>
          <w:sz w:val="22"/>
          <w:u w:val="single"/>
        </w:rPr>
        <w:t>Job Summary:</w:t>
      </w:r>
    </w:p>
    <w:p w14:paraId="49F18D0F" w14:textId="77777777" w:rsidR="00946E7C" w:rsidRPr="00946E7C" w:rsidRDefault="00946E7C" w:rsidP="00946E7C">
      <w:pPr>
        <w:rPr>
          <w:rFonts w:ascii="Calibri" w:eastAsia="Calibri" w:hAnsi="Calibri" w:cs="Calibri"/>
          <w:b/>
          <w:bCs/>
          <w:sz w:val="22"/>
          <w:u w:val="single"/>
        </w:rPr>
      </w:pPr>
      <w:r w:rsidRPr="00946E7C">
        <w:rPr>
          <w:rFonts w:ascii="Calibri" w:eastAsia="Calibri" w:hAnsi="Calibri" w:cs="Calibri"/>
          <w:sz w:val="22"/>
        </w:rPr>
        <w:t xml:space="preserve">The primary responsibility of the </w:t>
      </w:r>
      <w:r w:rsidRPr="00946E7C">
        <w:rPr>
          <w:rFonts w:ascii="Calibri" w:eastAsia="Calibri" w:hAnsi="Calibri" w:cs="Calibri"/>
          <w:b/>
          <w:bCs/>
          <w:sz w:val="22"/>
        </w:rPr>
        <w:t>Case Manager</w:t>
      </w:r>
      <w:r w:rsidRPr="00946E7C">
        <w:rPr>
          <w:rFonts w:ascii="Calibri" w:eastAsia="Calibri" w:hAnsi="Calibri" w:cs="Calibri"/>
          <w:sz w:val="22"/>
        </w:rPr>
        <w:t xml:space="preserve"> is to engage in a collaborative process of assessment, planning, facilitation, care coordination, evaluation, and advocacy for options and services to meet an individual’s and family’s comprehensive health needs through communication and available resources to promote quality services and outcomes.</w:t>
      </w:r>
    </w:p>
    <w:p w14:paraId="52BD495F" w14:textId="77777777" w:rsidR="00946E7C" w:rsidRPr="00946E7C" w:rsidRDefault="00946E7C" w:rsidP="00946E7C">
      <w:pPr>
        <w:rPr>
          <w:rFonts w:ascii="Calibri" w:eastAsia="Calibri" w:hAnsi="Calibri" w:cs="Calibri"/>
          <w:b/>
          <w:bCs/>
          <w:sz w:val="22"/>
          <w:u w:val="single"/>
        </w:rPr>
      </w:pPr>
    </w:p>
    <w:p w14:paraId="42B4A1F2" w14:textId="77777777" w:rsidR="00946E7C" w:rsidRPr="00946E7C" w:rsidRDefault="00946E7C" w:rsidP="00946E7C">
      <w:pPr>
        <w:rPr>
          <w:rFonts w:ascii="Calibri" w:eastAsia="Calibri" w:hAnsi="Calibri" w:cs="Calibri"/>
          <w:b/>
          <w:bCs/>
          <w:sz w:val="22"/>
          <w:u w:val="single"/>
        </w:rPr>
      </w:pPr>
      <w:r w:rsidRPr="00946E7C">
        <w:rPr>
          <w:rFonts w:ascii="Calibri" w:eastAsia="Calibri" w:hAnsi="Calibri" w:cs="Calibri"/>
          <w:b/>
          <w:bCs/>
          <w:sz w:val="22"/>
          <w:u w:val="single"/>
        </w:rPr>
        <w:t>Goals:</w:t>
      </w:r>
    </w:p>
    <w:p w14:paraId="26B591FD" w14:textId="77777777" w:rsidR="00946E7C" w:rsidRPr="00946E7C" w:rsidRDefault="00946E7C" w:rsidP="00946E7C">
      <w:pPr>
        <w:numPr>
          <w:ilvl w:val="0"/>
          <w:numId w:val="21"/>
        </w:numPr>
        <w:rPr>
          <w:rFonts w:ascii="Calibri" w:hAnsi="Calibri" w:cs="Calibri"/>
          <w:b/>
          <w:bCs/>
          <w:sz w:val="22"/>
        </w:rPr>
      </w:pPr>
      <w:r w:rsidRPr="00946E7C">
        <w:rPr>
          <w:rFonts w:ascii="Calibri" w:hAnsi="Calibri" w:cs="Calibri"/>
          <w:sz w:val="22"/>
        </w:rPr>
        <w:t>Be part of a field-based crisis team that responds to family line calls 24/7 throughout the community. (On-call duties are on a rotation basis amongst entire team)</w:t>
      </w:r>
    </w:p>
    <w:p w14:paraId="1EAE5EEB" w14:textId="77777777" w:rsidR="00946E7C" w:rsidRPr="00946E7C" w:rsidRDefault="00946E7C" w:rsidP="00946E7C">
      <w:pPr>
        <w:numPr>
          <w:ilvl w:val="0"/>
          <w:numId w:val="21"/>
        </w:numPr>
        <w:rPr>
          <w:rFonts w:ascii="Calibri" w:hAnsi="Calibri" w:cs="Calibri"/>
          <w:sz w:val="22"/>
        </w:rPr>
      </w:pPr>
      <w:r w:rsidRPr="00946E7C">
        <w:rPr>
          <w:rFonts w:ascii="Calibri" w:hAnsi="Calibri" w:cs="Calibri"/>
          <w:sz w:val="22"/>
        </w:rPr>
        <w:t>Meet productivity level as defined by management.</w:t>
      </w:r>
    </w:p>
    <w:p w14:paraId="227C2634" w14:textId="77777777" w:rsidR="00946E7C" w:rsidRPr="00946E7C" w:rsidRDefault="00946E7C" w:rsidP="00946E7C">
      <w:pPr>
        <w:numPr>
          <w:ilvl w:val="0"/>
          <w:numId w:val="21"/>
        </w:numPr>
        <w:rPr>
          <w:rFonts w:ascii="Calibri" w:hAnsi="Calibri" w:cs="Calibri"/>
          <w:sz w:val="22"/>
        </w:rPr>
      </w:pPr>
      <w:r w:rsidRPr="00946E7C">
        <w:rPr>
          <w:rFonts w:ascii="Calibri" w:hAnsi="Calibri" w:cs="Calibri"/>
          <w:sz w:val="22"/>
        </w:rPr>
        <w:t>Complete documentation as required by Supervisor and/or agency in a timely manner and meets the standards of HCA, HIPAA, Medi Cal and other funding sources</w:t>
      </w:r>
    </w:p>
    <w:p w14:paraId="0FD261A6" w14:textId="77777777" w:rsidR="00946E7C" w:rsidRPr="00946E7C" w:rsidRDefault="00946E7C" w:rsidP="00946E7C">
      <w:pPr>
        <w:ind w:left="720"/>
        <w:rPr>
          <w:rFonts w:ascii="Calibri" w:eastAsia="Calibri" w:hAnsi="Calibri" w:cs="Calibri"/>
          <w:sz w:val="22"/>
        </w:rPr>
      </w:pPr>
    </w:p>
    <w:p w14:paraId="14F8DF18" w14:textId="77777777" w:rsidR="00946E7C" w:rsidRPr="00946E7C" w:rsidRDefault="00946E7C" w:rsidP="00946E7C">
      <w:pPr>
        <w:rPr>
          <w:rFonts w:ascii="Calibri" w:eastAsia="Calibri" w:hAnsi="Calibri" w:cs="Calibri"/>
          <w:b/>
          <w:bCs/>
          <w:sz w:val="22"/>
          <w:u w:val="single"/>
        </w:rPr>
      </w:pPr>
      <w:r w:rsidRPr="00946E7C">
        <w:rPr>
          <w:rFonts w:ascii="Calibri" w:eastAsia="Calibri" w:hAnsi="Calibri" w:cs="Calibri"/>
          <w:b/>
          <w:bCs/>
          <w:sz w:val="22"/>
          <w:u w:val="single"/>
        </w:rPr>
        <w:t>Essential Duties and Responsibilities:</w:t>
      </w:r>
    </w:p>
    <w:p w14:paraId="2A9361A1"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 xml:space="preserve">Provide 24/7 (on-call duties are on a rotation basis) intensive short-term crisis intervention and critical safety management services as part of a rotation schedule. Services provided are to be provided primarily in the home and to accommodate the client and family’s schedule. </w:t>
      </w:r>
    </w:p>
    <w:p w14:paraId="73152305"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 xml:space="preserve">Provide 24/7 intensive crisis intervention and critical safety management services by conducting initial intakes based on an on-call schedule as needed. </w:t>
      </w:r>
    </w:p>
    <w:p w14:paraId="0CED663D"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Provide support to the individual child and family to help them cope with stressors related to serious emotional disturbance.</w:t>
      </w:r>
    </w:p>
    <w:p w14:paraId="0A77E989"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 xml:space="preserve">Conduct a needs assessment of resource with child and family with the purpose of increasing successful linkages within the community. Prioritize needs of child and family, address barriers and reinforce benefits of using resources. </w:t>
      </w:r>
    </w:p>
    <w:p w14:paraId="3546E92A"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Consult, confer and coordinate with referring and other community agencies and resources to advocate for the mental health needs of the child/family.</w:t>
      </w:r>
    </w:p>
    <w:p w14:paraId="7C6BB32A"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lastRenderedPageBreak/>
        <w:t>Provide rehabilitation services as needed to improve, maintain and restore functioning. Services include social skills, impulse control, coping skills, communication, etc.</w:t>
      </w:r>
    </w:p>
    <w:p w14:paraId="4AC55A54"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 xml:space="preserve">Provide parenting education as needed including setting limits, behavioral contracts, communication, etc. </w:t>
      </w:r>
    </w:p>
    <w:p w14:paraId="10271CF7" w14:textId="77777777" w:rsidR="00946E7C" w:rsidRPr="00946E7C" w:rsidRDefault="00946E7C" w:rsidP="00946E7C">
      <w:pPr>
        <w:numPr>
          <w:ilvl w:val="0"/>
          <w:numId w:val="24"/>
        </w:numPr>
        <w:spacing w:after="200" w:line="276" w:lineRule="auto"/>
        <w:contextualSpacing/>
        <w:rPr>
          <w:rFonts w:ascii="Calibri" w:hAnsi="Calibri" w:cs="Calibri"/>
          <w:sz w:val="22"/>
        </w:rPr>
      </w:pPr>
      <w:r w:rsidRPr="00946E7C">
        <w:rPr>
          <w:rFonts w:ascii="Calibri" w:hAnsi="Calibri" w:cs="Calibri"/>
          <w:sz w:val="22"/>
        </w:rPr>
        <w:t>Assist the family in identifying their child’s strengths and the strengths of the family.</w:t>
      </w:r>
    </w:p>
    <w:p w14:paraId="478ED80B"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Maintain contact with caregiver of clients who are hospitalized/respite/residential and participate in discharge planning and necessary collateral contacts.</w:t>
      </w:r>
    </w:p>
    <w:p w14:paraId="4E02ED32"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Document all services provided for contract compliance as well as financial, statistical and other reporting purposes.</w:t>
      </w:r>
    </w:p>
    <w:p w14:paraId="615270C7" w14:textId="77777777" w:rsidR="00946E7C" w:rsidRPr="00946E7C" w:rsidRDefault="00946E7C" w:rsidP="00946E7C">
      <w:pPr>
        <w:rPr>
          <w:rFonts w:ascii="Calibri" w:eastAsia="Calibri" w:hAnsi="Calibri" w:cs="Calibri"/>
          <w:b/>
          <w:bCs/>
          <w:sz w:val="22"/>
          <w:u w:val="single"/>
        </w:rPr>
      </w:pPr>
    </w:p>
    <w:p w14:paraId="32BD656D" w14:textId="77777777" w:rsidR="00946E7C" w:rsidRPr="00946E7C" w:rsidRDefault="00946E7C" w:rsidP="00946E7C">
      <w:pPr>
        <w:rPr>
          <w:rFonts w:ascii="Calibri" w:eastAsia="Calibri" w:hAnsi="Calibri" w:cs="Calibri"/>
          <w:b/>
          <w:bCs/>
          <w:sz w:val="22"/>
          <w:u w:val="single"/>
        </w:rPr>
      </w:pPr>
      <w:r w:rsidRPr="00946E7C">
        <w:rPr>
          <w:rFonts w:ascii="Calibri" w:eastAsia="Calibri" w:hAnsi="Calibri" w:cs="Calibri"/>
          <w:b/>
          <w:bCs/>
          <w:sz w:val="22"/>
          <w:u w:val="single"/>
        </w:rPr>
        <w:t>Secondary Duties:</w:t>
      </w:r>
    </w:p>
    <w:p w14:paraId="26E8C5FD"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Active participation in all required training.</w:t>
      </w:r>
    </w:p>
    <w:p w14:paraId="4B004803"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Participate in planning of various events as needed.</w:t>
      </w:r>
    </w:p>
    <w:p w14:paraId="64D77168"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Participate in weekly individual and team supervision.</w:t>
      </w:r>
    </w:p>
    <w:p w14:paraId="38268636"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Maintain updated statistics monthly.</w:t>
      </w:r>
    </w:p>
    <w:p w14:paraId="38F7A0E1" w14:textId="77777777" w:rsidR="00946E7C" w:rsidRPr="00946E7C" w:rsidRDefault="00946E7C" w:rsidP="00946E7C">
      <w:pPr>
        <w:numPr>
          <w:ilvl w:val="0"/>
          <w:numId w:val="24"/>
        </w:numPr>
        <w:rPr>
          <w:rFonts w:ascii="Calibri" w:hAnsi="Calibri" w:cs="Calibri"/>
          <w:sz w:val="22"/>
        </w:rPr>
      </w:pPr>
      <w:r w:rsidRPr="00946E7C">
        <w:rPr>
          <w:rFonts w:ascii="Calibri" w:hAnsi="Calibri" w:cs="Calibri"/>
          <w:sz w:val="22"/>
        </w:rPr>
        <w:t>Working on specific assignments related to the agency as a whole.</w:t>
      </w:r>
    </w:p>
    <w:p w14:paraId="0EE3BAB9" w14:textId="77777777" w:rsidR="00946E7C" w:rsidRPr="00946E7C" w:rsidRDefault="00946E7C" w:rsidP="00946E7C">
      <w:pPr>
        <w:rPr>
          <w:rFonts w:ascii="Calibri" w:eastAsia="Calibri" w:hAnsi="Calibri" w:cs="Calibri"/>
          <w:sz w:val="22"/>
        </w:rPr>
      </w:pPr>
    </w:p>
    <w:p w14:paraId="517EFCA9" w14:textId="77777777" w:rsidR="00946E7C" w:rsidRPr="00946E7C" w:rsidRDefault="00946E7C" w:rsidP="00946E7C">
      <w:pPr>
        <w:ind w:left="360" w:hanging="360"/>
        <w:rPr>
          <w:rFonts w:ascii="Calibri" w:eastAsia="Calibri" w:hAnsi="Calibri" w:cs="Calibri"/>
          <w:b/>
          <w:bCs/>
          <w:sz w:val="22"/>
          <w:u w:val="single"/>
        </w:rPr>
      </w:pPr>
      <w:r w:rsidRPr="00946E7C">
        <w:rPr>
          <w:rFonts w:ascii="Calibri" w:eastAsia="Calibri" w:hAnsi="Calibri" w:cs="Calibri"/>
          <w:b/>
          <w:bCs/>
          <w:sz w:val="22"/>
          <w:u w:val="single"/>
        </w:rPr>
        <w:t>Position Qualifications:</w:t>
      </w:r>
    </w:p>
    <w:p w14:paraId="0FAFB4BE" w14:textId="77777777" w:rsidR="00946E7C" w:rsidRPr="00946E7C" w:rsidRDefault="00946E7C" w:rsidP="00946E7C">
      <w:pPr>
        <w:numPr>
          <w:ilvl w:val="0"/>
          <w:numId w:val="25"/>
        </w:numPr>
        <w:autoSpaceDE w:val="0"/>
        <w:autoSpaceDN w:val="0"/>
        <w:rPr>
          <w:rFonts w:ascii="Calibri" w:hAnsi="Calibri" w:cs="Calibri"/>
          <w:color w:val="000000"/>
          <w:sz w:val="22"/>
        </w:rPr>
      </w:pPr>
      <w:r w:rsidRPr="00946E7C">
        <w:rPr>
          <w:rFonts w:ascii="Calibri" w:hAnsi="Calibri" w:cs="Calibri"/>
          <w:color w:val="000000"/>
          <w:sz w:val="22"/>
        </w:rPr>
        <w:t>Some high school education, Diploma or GED, B.S. Degree in Psychology, Sociology, Human Services, or Social Work, two years’ experience preferred in Mental Health or related field.</w:t>
      </w:r>
    </w:p>
    <w:p w14:paraId="62B58C3A" w14:textId="77777777" w:rsidR="00946E7C" w:rsidRPr="00946E7C" w:rsidRDefault="00946E7C" w:rsidP="00946E7C">
      <w:pPr>
        <w:numPr>
          <w:ilvl w:val="0"/>
          <w:numId w:val="25"/>
        </w:numPr>
        <w:rPr>
          <w:rFonts w:ascii="Calibri" w:hAnsi="Calibri" w:cs="Calibri"/>
          <w:sz w:val="22"/>
        </w:rPr>
      </w:pPr>
      <w:r w:rsidRPr="00946E7C">
        <w:rPr>
          <w:rFonts w:ascii="Calibri" w:hAnsi="Calibri" w:cs="Calibri"/>
          <w:sz w:val="22"/>
        </w:rPr>
        <w:t>Valid California Driver’s License.</w:t>
      </w:r>
    </w:p>
    <w:p w14:paraId="69D1778B" w14:textId="77777777" w:rsidR="00946E7C" w:rsidRPr="00946E7C" w:rsidRDefault="00946E7C" w:rsidP="00946E7C">
      <w:pPr>
        <w:numPr>
          <w:ilvl w:val="0"/>
          <w:numId w:val="25"/>
        </w:numPr>
        <w:rPr>
          <w:rFonts w:ascii="Calibri" w:hAnsi="Calibri" w:cs="Calibri"/>
          <w:sz w:val="22"/>
        </w:rPr>
      </w:pPr>
      <w:proofErr w:type="spellStart"/>
      <w:r w:rsidRPr="00946E7C">
        <w:rPr>
          <w:rFonts w:ascii="Calibri" w:hAnsi="Calibri" w:cs="Calibri"/>
          <w:sz w:val="22"/>
        </w:rPr>
        <w:t>LiveScan</w:t>
      </w:r>
      <w:proofErr w:type="spellEnd"/>
      <w:r w:rsidRPr="00946E7C">
        <w:rPr>
          <w:rFonts w:ascii="Calibri" w:hAnsi="Calibri" w:cs="Calibri"/>
          <w:sz w:val="22"/>
        </w:rPr>
        <w:t xml:space="preserve"> fingerprinting required.</w:t>
      </w:r>
    </w:p>
    <w:p w14:paraId="23E3ED9C" w14:textId="77777777" w:rsidR="00946E7C" w:rsidRPr="00946E7C" w:rsidRDefault="00946E7C" w:rsidP="00946E7C">
      <w:pPr>
        <w:numPr>
          <w:ilvl w:val="0"/>
          <w:numId w:val="25"/>
        </w:numPr>
        <w:rPr>
          <w:rFonts w:ascii="Calibri" w:hAnsi="Calibri" w:cs="Calibri"/>
          <w:sz w:val="22"/>
        </w:rPr>
      </w:pPr>
      <w:r w:rsidRPr="00946E7C">
        <w:rPr>
          <w:rFonts w:ascii="Calibri" w:hAnsi="Calibri" w:cs="Calibri"/>
          <w:sz w:val="22"/>
        </w:rPr>
        <w:t>Experience with families and children is preferred.</w:t>
      </w:r>
    </w:p>
    <w:p w14:paraId="7A1F328A" w14:textId="77777777" w:rsidR="00946E7C" w:rsidRPr="00946E7C" w:rsidRDefault="00946E7C" w:rsidP="00946E7C">
      <w:pPr>
        <w:numPr>
          <w:ilvl w:val="0"/>
          <w:numId w:val="25"/>
        </w:numPr>
        <w:rPr>
          <w:rFonts w:ascii="Calibri" w:hAnsi="Calibri" w:cs="Calibri"/>
          <w:sz w:val="22"/>
        </w:rPr>
      </w:pPr>
      <w:r w:rsidRPr="00946E7C">
        <w:rPr>
          <w:rFonts w:ascii="Calibri" w:hAnsi="Calibri" w:cs="Calibri"/>
          <w:sz w:val="22"/>
        </w:rPr>
        <w:t xml:space="preserve">Bilingual Spanish or Vietnamese </w:t>
      </w:r>
      <w:r w:rsidRPr="00946E7C">
        <w:rPr>
          <w:rFonts w:ascii="Calibri" w:hAnsi="Calibri" w:cs="Calibri"/>
          <w:b/>
          <w:bCs/>
          <w:sz w:val="22"/>
        </w:rPr>
        <w:t>required</w:t>
      </w:r>
      <w:r w:rsidRPr="00946E7C">
        <w:rPr>
          <w:rFonts w:ascii="Calibri" w:hAnsi="Calibri" w:cs="Calibri"/>
          <w:sz w:val="22"/>
        </w:rPr>
        <w:t xml:space="preserve">. </w:t>
      </w:r>
    </w:p>
    <w:p w14:paraId="1532926D" w14:textId="767C5DE8" w:rsidR="001356FD" w:rsidRPr="00555709" w:rsidRDefault="001356FD" w:rsidP="00946E7C">
      <w:pPr>
        <w:pStyle w:val="ListParagraph"/>
        <w:shd w:val="clear" w:color="auto" w:fill="FFFFFF"/>
        <w:rPr>
          <w:rFonts w:asciiTheme="minorHAnsi" w:hAnsiTheme="minorHAnsi" w:cstheme="minorHAnsi"/>
          <w:sz w:val="22"/>
          <w:szCs w:val="22"/>
        </w:rPr>
      </w:pPr>
    </w:p>
    <w:p w14:paraId="63C2BD31" w14:textId="77777777" w:rsidR="00EE7AE2" w:rsidRPr="001356FD" w:rsidRDefault="00EE7AE2" w:rsidP="001356FD">
      <w:pPr>
        <w:pStyle w:val="ListParagraph"/>
        <w:shd w:val="clear" w:color="auto" w:fill="FFFFFF"/>
        <w:rPr>
          <w:rStyle w:val="eop"/>
          <w:rFonts w:asciiTheme="minorHAnsi" w:hAnsiTheme="minorHAnsi" w:cstheme="minorHAnsi"/>
          <w:sz w:val="22"/>
          <w:szCs w:val="22"/>
        </w:rPr>
      </w:pPr>
    </w:p>
    <w:p w14:paraId="0D5BB550" w14:textId="77777777" w:rsidR="00EE7AE2"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40E0DBC4"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47F4DD7D" w14:textId="7C4ADCF0" w:rsidR="008A391E" w:rsidRP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8A391E">
        <w:rPr>
          <w:rStyle w:val="eop"/>
          <w:rFonts w:asciiTheme="minorHAnsi" w:hAnsiTheme="minorHAnsi" w:cstheme="minorHAnsi"/>
          <w:sz w:val="22"/>
          <w:szCs w:val="22"/>
        </w:rPr>
        <w:t xml:space="preserve">Current interested applicants please submit </w:t>
      </w:r>
      <w:r w:rsidR="00555709">
        <w:rPr>
          <w:rStyle w:val="eop"/>
          <w:rFonts w:asciiTheme="minorHAnsi" w:hAnsiTheme="minorHAnsi" w:cstheme="minorHAnsi"/>
          <w:sz w:val="22"/>
          <w:szCs w:val="22"/>
        </w:rPr>
        <w:t xml:space="preserve">Employment Application and </w:t>
      </w:r>
      <w:r>
        <w:rPr>
          <w:rStyle w:val="eop"/>
          <w:rFonts w:asciiTheme="minorHAnsi" w:hAnsiTheme="minorHAnsi" w:cstheme="minorHAnsi"/>
          <w:sz w:val="22"/>
          <w:szCs w:val="22"/>
        </w:rPr>
        <w:t>current 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p w14:paraId="17277DEC" w14:textId="6BF0E995"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8E1D785" w14:textId="5F0AE99B" w:rsidR="00BB0704" w:rsidRPr="00EE7AE2" w:rsidRDefault="00BB0704" w:rsidP="00EE7AE2">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p>
    <w:sectPr w:rsidR="00BB0704" w:rsidRPr="00EE7AE2" w:rsidSect="003041CB">
      <w:headerReference w:type="default" r:id="rId12"/>
      <w:footerReference w:type="even"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1E8" w14:textId="77777777" w:rsidR="00435726" w:rsidRPr="00BD348A" w:rsidRDefault="00435726" w:rsidP="00435726">
    <w:pPr>
      <w:pStyle w:val="TPCFtr1Ital"/>
      <w:rPr>
        <w:rFonts w:asciiTheme="minorHAnsi" w:hAnsiTheme="minorHAnsi" w:cstheme="minorHAnsi"/>
        <w:color w:val="002060"/>
      </w:rPr>
    </w:pPr>
    <w:r>
      <w:tab/>
    </w:r>
    <w:r w:rsidRPr="00BD348A">
      <w:rPr>
        <w:rFonts w:asciiTheme="minorHAnsi" w:hAnsiTheme="minorHAnsi" w:cstheme="minorHAnsi"/>
        <w:color w:val="002060"/>
      </w:rPr>
      <w:t>Ending the cycle of generational trauma</w:t>
    </w:r>
  </w:p>
  <w:p w14:paraId="627F0AAA" w14:textId="77777777" w:rsidR="00435726" w:rsidRPr="00BD348A" w:rsidRDefault="00435726" w:rsidP="00435726">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3EC8FF7D" w14:textId="77777777" w:rsidR="00435726" w:rsidRPr="00BD348A" w:rsidRDefault="00435726" w:rsidP="00435726">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59F121D2" w14:textId="77777777" w:rsidR="00F717BE" w:rsidRPr="00435726" w:rsidRDefault="00B34FCC"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B34FCC" w:rsidP="008D189D">
    <w:pPr>
      <w:tabs>
        <w:tab w:val="left" w:pos="1440"/>
        <w:tab w:val="left" w:pos="5940"/>
      </w:tabs>
      <w:rPr>
        <w:rFonts w:ascii="Arial" w:hAnsi="Arial" w:cs="Arial"/>
        <w:sz w:val="22"/>
        <w:szCs w:val="22"/>
      </w:rPr>
    </w:pPr>
  </w:p>
  <w:p w14:paraId="3A1315F8" w14:textId="77777777" w:rsidR="00F717BE" w:rsidRDefault="00B3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82A"/>
    <w:multiLevelType w:val="hybridMultilevel"/>
    <w:tmpl w:val="4E1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47FD"/>
    <w:multiLevelType w:val="hybridMultilevel"/>
    <w:tmpl w:val="CE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256"/>
    <w:multiLevelType w:val="hybridMultilevel"/>
    <w:tmpl w:val="F73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835"/>
    <w:multiLevelType w:val="multilevel"/>
    <w:tmpl w:val="A4F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11116"/>
    <w:multiLevelType w:val="multilevel"/>
    <w:tmpl w:val="38E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D4582"/>
    <w:multiLevelType w:val="multilevel"/>
    <w:tmpl w:val="9B4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3F3D"/>
    <w:multiLevelType w:val="hybridMultilevel"/>
    <w:tmpl w:val="A6B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00C19"/>
    <w:multiLevelType w:val="hybridMultilevel"/>
    <w:tmpl w:val="BA0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45CF"/>
    <w:multiLevelType w:val="multilevel"/>
    <w:tmpl w:val="C78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651E6"/>
    <w:multiLevelType w:val="hybridMultilevel"/>
    <w:tmpl w:val="76F65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B28A6"/>
    <w:multiLevelType w:val="hybridMultilevel"/>
    <w:tmpl w:val="70888D7E"/>
    <w:lvl w:ilvl="0" w:tplc="04090001">
      <w:start w:val="1"/>
      <w:numFmt w:val="bullet"/>
      <w:lvlText w:val=""/>
      <w:lvlJc w:val="left"/>
      <w:pPr>
        <w:tabs>
          <w:tab w:val="num" w:pos="720"/>
        </w:tabs>
        <w:ind w:left="720" w:hanging="360"/>
      </w:pPr>
      <w:rPr>
        <w:rFonts w:ascii="Symbol" w:hAnsi="Symbol" w:hint="default"/>
      </w:rPr>
    </w:lvl>
    <w:lvl w:ilvl="1" w:tplc="BB68320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4084"/>
    <w:multiLevelType w:val="hybridMultilevel"/>
    <w:tmpl w:val="AB9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42F54"/>
    <w:multiLevelType w:val="hybridMultilevel"/>
    <w:tmpl w:val="DB142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D4B1C"/>
    <w:multiLevelType w:val="multilevel"/>
    <w:tmpl w:val="6B8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01FC4"/>
    <w:multiLevelType w:val="multilevel"/>
    <w:tmpl w:val="9B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12AE6"/>
    <w:multiLevelType w:val="hybridMultilevel"/>
    <w:tmpl w:val="0DB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4241"/>
    <w:multiLevelType w:val="multilevel"/>
    <w:tmpl w:val="DB3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D16A5"/>
    <w:multiLevelType w:val="hybridMultilevel"/>
    <w:tmpl w:val="F1B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915D0"/>
    <w:multiLevelType w:val="multilevel"/>
    <w:tmpl w:val="03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01840"/>
    <w:multiLevelType w:val="hybridMultilevel"/>
    <w:tmpl w:val="F94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6636F"/>
    <w:multiLevelType w:val="hybridMultilevel"/>
    <w:tmpl w:val="C7D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10972"/>
    <w:multiLevelType w:val="hybridMultilevel"/>
    <w:tmpl w:val="11C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74170"/>
    <w:multiLevelType w:val="hybridMultilevel"/>
    <w:tmpl w:val="538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4"/>
  </w:num>
  <w:num w:numId="5">
    <w:abstractNumId w:val="5"/>
  </w:num>
  <w:num w:numId="6">
    <w:abstractNumId w:val="13"/>
  </w:num>
  <w:num w:numId="7">
    <w:abstractNumId w:val="3"/>
  </w:num>
  <w:num w:numId="8">
    <w:abstractNumId w:val="6"/>
  </w:num>
  <w:num w:numId="9">
    <w:abstractNumId w:val="22"/>
  </w:num>
  <w:num w:numId="10">
    <w:abstractNumId w:val="2"/>
  </w:num>
  <w:num w:numId="11">
    <w:abstractNumId w:val="11"/>
  </w:num>
  <w:num w:numId="12">
    <w:abstractNumId w:val="4"/>
  </w:num>
  <w:num w:numId="13">
    <w:abstractNumId w:val="18"/>
  </w:num>
  <w:num w:numId="14">
    <w:abstractNumId w:val="16"/>
  </w:num>
  <w:num w:numId="15">
    <w:abstractNumId w:val="8"/>
  </w:num>
  <w:num w:numId="16">
    <w:abstractNumId w:val="1"/>
  </w:num>
  <w:num w:numId="17">
    <w:abstractNumId w:val="19"/>
  </w:num>
  <w:num w:numId="18">
    <w:abstractNumId w:val="20"/>
  </w:num>
  <w:num w:numId="19">
    <w:abstractNumId w:val="0"/>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10"/>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356FD"/>
    <w:rsid w:val="00187359"/>
    <w:rsid w:val="001C21CF"/>
    <w:rsid w:val="002312F6"/>
    <w:rsid w:val="003041CB"/>
    <w:rsid w:val="00310CFA"/>
    <w:rsid w:val="00370B5C"/>
    <w:rsid w:val="003F032D"/>
    <w:rsid w:val="003F09C1"/>
    <w:rsid w:val="00435726"/>
    <w:rsid w:val="00477014"/>
    <w:rsid w:val="00555709"/>
    <w:rsid w:val="005E10EE"/>
    <w:rsid w:val="00731D29"/>
    <w:rsid w:val="00781289"/>
    <w:rsid w:val="008A391E"/>
    <w:rsid w:val="008F69F1"/>
    <w:rsid w:val="00901A6E"/>
    <w:rsid w:val="00946E7C"/>
    <w:rsid w:val="00A94236"/>
    <w:rsid w:val="00AA6641"/>
    <w:rsid w:val="00AC1E10"/>
    <w:rsid w:val="00B34FCC"/>
    <w:rsid w:val="00B45D41"/>
    <w:rsid w:val="00BB0704"/>
    <w:rsid w:val="00BD348A"/>
    <w:rsid w:val="00C175E0"/>
    <w:rsid w:val="00C37938"/>
    <w:rsid w:val="00C958E3"/>
    <w:rsid w:val="00D35071"/>
    <w:rsid w:val="00D669E2"/>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152911832">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184054249">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581403455">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6D589698E544C9E6B1E2583F68FEF" ma:contentTypeVersion="9" ma:contentTypeDescription="Create a new document." ma:contentTypeScope="" ma:versionID="231e968cc46931e402a6c378ba2a1ecb">
  <xsd:schema xmlns:xsd="http://www.w3.org/2001/XMLSchema" xmlns:xs="http://www.w3.org/2001/XMLSchema" xmlns:p="http://schemas.microsoft.com/office/2006/metadata/properties" xmlns:ns3="17405644-1e89-4628-834a-844e24c5f578" targetNamespace="http://schemas.microsoft.com/office/2006/metadata/properties" ma:root="true" ma:fieldsID="300df46fc74ba5546e29cc1768b2bf5e" ns3:_="">
    <xsd:import namespace="17405644-1e89-4628-834a-844e24c5f5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05644-1e89-4628-834a-844e24c5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2.xml><?xml version="1.0" encoding="utf-8"?>
<ds:datastoreItem xmlns:ds="http://schemas.openxmlformats.org/officeDocument/2006/customXml" ds:itemID="{C9888492-2BCD-4035-9234-88F0ACB3B5B1}">
  <ds:schemaRefs>
    <ds:schemaRef ds:uri="17405644-1e89-4628-834a-844e24c5f578"/>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63DA373-4B66-4846-9076-791B95FC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05644-1e89-4628-834a-844e24c5f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94CF7-9564-47D1-886B-4012679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Allison Binder</cp:lastModifiedBy>
  <cp:revision>2</cp:revision>
  <cp:lastPrinted>2021-03-02T23:43:00Z</cp:lastPrinted>
  <dcterms:created xsi:type="dcterms:W3CDTF">2021-12-06T19:10:00Z</dcterms:created>
  <dcterms:modified xsi:type="dcterms:W3CDTF">2021-12-06T19:10:00Z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0x0101002A06D589698E544C9E6B1E2583F68FEF</vt:lpwstr>
  </property>
</Properties>
</file>