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5F6E7B55" w:rsidR="008F69F1" w:rsidRDefault="00310CF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r>
        <w:rPr>
          <w:noProof/>
        </w:rPr>
        <mc:AlternateContent>
          <mc:Choice Requires="wps">
            <w:drawing>
              <wp:anchor distT="0" distB="0" distL="114300" distR="114300" simplePos="0" relativeHeight="251658240" behindDoc="0" locked="0" layoutInCell="1" allowOverlap="1" wp14:anchorId="637A7E4A" wp14:editId="1B54E0AC">
                <wp:simplePos x="0" y="0"/>
                <wp:positionH relativeFrom="margin">
                  <wp:posOffset>1238885</wp:posOffset>
                </wp:positionH>
                <wp:positionV relativeFrom="paragraph">
                  <wp:posOffset>154305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027478C8" w:rsidR="00310CFA" w:rsidRPr="00310CFA" w:rsidRDefault="00250ABF"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Mentor</w:t>
                            </w:r>
                          </w:p>
                          <w:p w14:paraId="6E7A5089" w14:textId="329633F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41598">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97.55pt;margin-top:12.15pt;width:2in;height:2in;z-index:2516582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" filled="f" stroked="f">
                <v:textbox style="mso-fit-shape-to-text:t">
                  <w:txbxContent>
                    <w:p w14:paraId="4B0D344F" w14:textId="027478C8" w:rsidR="00310CFA" w:rsidRPr="00310CFA" w:rsidRDefault="00250ABF"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Peer Mentor</w:t>
                      </w:r>
                    </w:p>
                    <w:p w14:paraId="6E7A5089" w14:textId="329633F5"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41598">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Adult</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653D994B" w14:textId="344F409C" w:rsidR="008F69F1" w:rsidRP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671B4A16" w14:textId="77777777" w:rsidR="00187359" w:rsidRDefault="00187359" w:rsidP="00187359">
      <w:pPr>
        <w:pStyle w:val="paragraph"/>
        <w:shd w:val="clear" w:color="auto" w:fill="FFFFFF"/>
        <w:spacing w:before="0" w:beforeAutospacing="0" w:after="0" w:afterAutospacing="0"/>
        <w:textAlignment w:val="baseline"/>
        <w:rPr>
          <w:rFonts w:ascii="Helvetica" w:hAnsi="Helvetica" w:cs="Helvetica"/>
          <w:b/>
          <w:bCs/>
          <w:color w:val="2D2D2D"/>
          <w:sz w:val="21"/>
          <w:szCs w:val="21"/>
        </w:rPr>
      </w:pPr>
    </w:p>
    <w:p w14:paraId="0B4DF857" w14:textId="77777777" w:rsidR="00B45D41" w:rsidRPr="00B45D41" w:rsidRDefault="00B45D41" w:rsidP="00B45D41">
      <w:pPr>
        <w:pStyle w:val="NormalWeb"/>
        <w:shd w:val="clear" w:color="auto" w:fill="FFFFFF"/>
        <w:spacing w:before="0" w:beforeAutospacing="0" w:after="150" w:afterAutospacing="0"/>
        <w:rPr>
          <w:rFonts w:asciiTheme="minorHAnsi" w:hAnsiTheme="minorHAnsi" w:cstheme="minorHAnsi"/>
          <w:sz w:val="22"/>
          <w:szCs w:val="22"/>
          <w:u w:val="single"/>
        </w:rPr>
      </w:pPr>
      <w:bookmarkStart w:id="1" w:name="_GoBack"/>
      <w:r w:rsidRPr="00B45D41">
        <w:rPr>
          <w:rFonts w:asciiTheme="minorHAnsi" w:hAnsiTheme="minorHAnsi" w:cstheme="minorHAnsi"/>
          <w:b/>
          <w:bCs/>
          <w:sz w:val="22"/>
          <w:szCs w:val="22"/>
          <w:u w:val="single"/>
        </w:rPr>
        <w:t>Program Summary:</w:t>
      </w:r>
    </w:p>
    <w:p w14:paraId="64D3B6AA" w14:textId="77777777" w:rsidR="00D41598" w:rsidRPr="00D41598" w:rsidRDefault="00D41598" w:rsidP="00D41598">
      <w:pPr>
        <w:pStyle w:val="paragraph"/>
        <w:spacing w:after="0"/>
        <w:textAlignment w:val="baseline"/>
        <w:rPr>
          <w:rFonts w:asciiTheme="minorHAnsi" w:hAnsiTheme="minorHAnsi" w:cstheme="minorHAnsi"/>
          <w:color w:val="2D2D2D"/>
          <w:sz w:val="22"/>
          <w:szCs w:val="22"/>
        </w:rPr>
      </w:pPr>
      <w:r w:rsidRPr="00D41598">
        <w:rPr>
          <w:rFonts w:asciiTheme="minorHAnsi" w:hAnsiTheme="minorHAnsi" w:cstheme="minorHAnsi"/>
          <w:color w:val="2D2D2D"/>
          <w:sz w:val="22"/>
          <w:szCs w:val="22"/>
        </w:rPr>
        <w:t>The </w:t>
      </w:r>
      <w:r w:rsidRPr="00D41598">
        <w:rPr>
          <w:rFonts w:asciiTheme="minorHAnsi" w:hAnsiTheme="minorHAnsi" w:cstheme="minorHAnsi"/>
          <w:b/>
          <w:bCs/>
          <w:color w:val="2D2D2D"/>
          <w:sz w:val="22"/>
          <w:szCs w:val="22"/>
        </w:rPr>
        <w:t>Adult In-Home Crisis Stabilization program</w:t>
      </w:r>
      <w:r w:rsidRPr="00D41598">
        <w:rPr>
          <w:rFonts w:asciiTheme="minorHAnsi" w:hAnsiTheme="minorHAnsi" w:cstheme="minorHAnsi"/>
          <w:color w:val="2D2D2D"/>
          <w:sz w:val="22"/>
          <w:szCs w:val="22"/>
        </w:rPr>
        <w:t> serves suicidal and homicidal adults who can’t be hospitalized, in order to diffuse the crisis, promote a healthy lifestyle and prevent suicidal and homicidal acts. This program has a field-based treatment team consisting of clinicians, case managers and peer mentors. The program is a three-phase model:</w:t>
      </w:r>
    </w:p>
    <w:p w14:paraId="291395F0" w14:textId="77777777" w:rsidR="00D41598" w:rsidRPr="00D41598" w:rsidRDefault="00D41598" w:rsidP="00D41598">
      <w:pPr>
        <w:pStyle w:val="paragraph"/>
        <w:numPr>
          <w:ilvl w:val="0"/>
          <w:numId w:val="4"/>
        </w:numPr>
        <w:textAlignment w:val="baseline"/>
        <w:rPr>
          <w:rFonts w:asciiTheme="minorHAnsi" w:hAnsiTheme="minorHAnsi" w:cstheme="minorHAnsi"/>
          <w:color w:val="2D2D2D"/>
          <w:sz w:val="22"/>
          <w:szCs w:val="22"/>
        </w:rPr>
      </w:pPr>
      <w:r w:rsidRPr="00D41598">
        <w:rPr>
          <w:rFonts w:asciiTheme="minorHAnsi" w:hAnsiTheme="minorHAnsi" w:cstheme="minorHAnsi"/>
          <w:color w:val="2D2D2D"/>
          <w:sz w:val="22"/>
          <w:szCs w:val="22"/>
        </w:rPr>
        <w:t>Assessment of the client and support network to identify short term needs and de-escalation</w:t>
      </w:r>
    </w:p>
    <w:p w14:paraId="6F6BED87" w14:textId="77777777" w:rsidR="00D41598" w:rsidRPr="00D41598" w:rsidRDefault="00D41598" w:rsidP="00D41598">
      <w:pPr>
        <w:pStyle w:val="paragraph"/>
        <w:numPr>
          <w:ilvl w:val="0"/>
          <w:numId w:val="4"/>
        </w:numPr>
        <w:textAlignment w:val="baseline"/>
        <w:rPr>
          <w:rFonts w:asciiTheme="minorHAnsi" w:hAnsiTheme="minorHAnsi" w:cstheme="minorHAnsi"/>
          <w:color w:val="2D2D2D"/>
          <w:sz w:val="22"/>
          <w:szCs w:val="22"/>
        </w:rPr>
      </w:pPr>
      <w:r w:rsidRPr="00D41598">
        <w:rPr>
          <w:rFonts w:asciiTheme="minorHAnsi" w:hAnsiTheme="minorHAnsi" w:cstheme="minorHAnsi"/>
          <w:color w:val="2D2D2D"/>
          <w:sz w:val="22"/>
          <w:szCs w:val="22"/>
        </w:rPr>
        <w:t>Individual and family therapy, outreach, peer mentor, and case management services</w:t>
      </w:r>
    </w:p>
    <w:p w14:paraId="1A844FFA" w14:textId="77777777" w:rsidR="00D41598" w:rsidRPr="00D41598" w:rsidRDefault="00D41598" w:rsidP="00D41598">
      <w:pPr>
        <w:pStyle w:val="paragraph"/>
        <w:numPr>
          <w:ilvl w:val="0"/>
          <w:numId w:val="4"/>
        </w:numPr>
        <w:textAlignment w:val="baseline"/>
        <w:rPr>
          <w:rFonts w:asciiTheme="minorHAnsi" w:hAnsiTheme="minorHAnsi" w:cstheme="minorHAnsi"/>
          <w:color w:val="2D2D2D"/>
          <w:sz w:val="22"/>
          <w:szCs w:val="22"/>
        </w:rPr>
      </w:pPr>
      <w:r w:rsidRPr="00D41598">
        <w:rPr>
          <w:rFonts w:asciiTheme="minorHAnsi" w:hAnsiTheme="minorHAnsi" w:cstheme="minorHAnsi"/>
          <w:color w:val="2D2D2D"/>
          <w:sz w:val="22"/>
          <w:szCs w:val="22"/>
        </w:rPr>
        <w:t>Prepare client and family/support network for progression towards long term resolution and treatment.</w:t>
      </w:r>
    </w:p>
    <w:p w14:paraId="60FCEE14" w14:textId="530497BC" w:rsidR="00D41598" w:rsidRPr="00D41598" w:rsidRDefault="00D41598" w:rsidP="00D41598">
      <w:pPr>
        <w:pStyle w:val="paragraph"/>
        <w:spacing w:after="0"/>
        <w:textAlignment w:val="baseline"/>
        <w:rPr>
          <w:rFonts w:asciiTheme="minorHAnsi" w:hAnsiTheme="minorHAnsi" w:cstheme="minorHAnsi"/>
          <w:color w:val="2D2D2D"/>
          <w:sz w:val="22"/>
          <w:szCs w:val="22"/>
          <w:u w:val="single"/>
        </w:rPr>
      </w:pPr>
      <w:r w:rsidRPr="00D41598">
        <w:rPr>
          <w:rFonts w:asciiTheme="minorHAnsi" w:hAnsiTheme="minorHAnsi" w:cstheme="minorHAnsi"/>
          <w:b/>
          <w:bCs/>
          <w:color w:val="2D2D2D"/>
          <w:sz w:val="22"/>
          <w:szCs w:val="22"/>
          <w:u w:val="single"/>
        </w:rPr>
        <w:t>Job Summary</w:t>
      </w:r>
      <w:r>
        <w:rPr>
          <w:rFonts w:asciiTheme="minorHAnsi" w:hAnsiTheme="minorHAnsi" w:cstheme="minorHAnsi"/>
          <w:b/>
          <w:bCs/>
          <w:color w:val="2D2D2D"/>
          <w:sz w:val="22"/>
          <w:szCs w:val="22"/>
          <w:u w:val="single"/>
        </w:rPr>
        <w:t>:</w:t>
      </w:r>
    </w:p>
    <w:p w14:paraId="4726DB35" w14:textId="77777777" w:rsidR="00250ABF" w:rsidRPr="00250ABF" w:rsidRDefault="00250ABF" w:rsidP="00250ABF">
      <w:pPr>
        <w:pStyle w:val="paragraph"/>
        <w:spacing w:after="0"/>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The primary responsibility of the </w:t>
      </w:r>
      <w:r w:rsidRPr="00250ABF">
        <w:rPr>
          <w:rFonts w:asciiTheme="minorHAnsi" w:hAnsiTheme="minorHAnsi" w:cstheme="minorHAnsi"/>
          <w:b/>
          <w:bCs/>
          <w:i/>
          <w:iCs/>
          <w:color w:val="2D2D2D"/>
          <w:sz w:val="22"/>
          <w:szCs w:val="22"/>
        </w:rPr>
        <w:t>Peer Mentor</w:t>
      </w:r>
      <w:r w:rsidRPr="00250ABF">
        <w:rPr>
          <w:rFonts w:asciiTheme="minorHAnsi" w:hAnsiTheme="minorHAnsi" w:cstheme="minorHAnsi"/>
          <w:i/>
          <w:iCs/>
          <w:color w:val="2D2D2D"/>
          <w:sz w:val="22"/>
          <w:szCs w:val="22"/>
        </w:rPr>
        <w:t> </w:t>
      </w:r>
      <w:r w:rsidRPr="00250ABF">
        <w:rPr>
          <w:rFonts w:asciiTheme="minorHAnsi" w:hAnsiTheme="minorHAnsi" w:cstheme="minorHAnsi"/>
          <w:color w:val="2D2D2D"/>
          <w:sz w:val="22"/>
          <w:szCs w:val="22"/>
        </w:rPr>
        <w:t>is to engage in a collaborative process of assessment, planning, facilitation, care coordination, evaluation, and advocacy for options and services to meet the comprehensive health needs of individuals in the </w:t>
      </w:r>
      <w:r w:rsidRPr="00250ABF">
        <w:rPr>
          <w:rFonts w:asciiTheme="minorHAnsi" w:hAnsiTheme="minorHAnsi" w:cstheme="minorHAnsi"/>
          <w:b/>
          <w:bCs/>
          <w:i/>
          <w:iCs/>
          <w:color w:val="2D2D2D"/>
          <w:sz w:val="22"/>
          <w:szCs w:val="22"/>
        </w:rPr>
        <w:t>Adult In-Home Crisis Stabilization </w:t>
      </w:r>
      <w:r w:rsidRPr="00250ABF">
        <w:rPr>
          <w:rFonts w:asciiTheme="minorHAnsi" w:hAnsiTheme="minorHAnsi" w:cstheme="minorHAnsi"/>
          <w:b/>
          <w:bCs/>
          <w:color w:val="2D2D2D"/>
          <w:sz w:val="22"/>
          <w:szCs w:val="22"/>
        </w:rPr>
        <w:t>(AIHCS) </w:t>
      </w:r>
      <w:r w:rsidRPr="00250ABF">
        <w:rPr>
          <w:rFonts w:asciiTheme="minorHAnsi" w:hAnsiTheme="minorHAnsi" w:cstheme="minorHAnsi"/>
          <w:color w:val="2D2D2D"/>
          <w:sz w:val="22"/>
          <w:szCs w:val="22"/>
        </w:rPr>
        <w:t>program of The Priority Center through communication and available resources.</w:t>
      </w:r>
    </w:p>
    <w:p w14:paraId="38B45B5E" w14:textId="5A4F1FBB" w:rsidR="00250ABF" w:rsidRPr="00250ABF" w:rsidRDefault="00250ABF" w:rsidP="00250ABF">
      <w:pPr>
        <w:pStyle w:val="paragraph"/>
        <w:spacing w:after="0"/>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A Peer Mentor has been a recipient of behavioral health "</w:t>
      </w:r>
      <w:r w:rsidRPr="00250ABF">
        <w:rPr>
          <w:rFonts w:asciiTheme="minorHAnsi" w:hAnsiTheme="minorHAnsi" w:cstheme="minorHAnsi"/>
          <w:b/>
          <w:bCs/>
          <w:color w:val="2D2D2D"/>
          <w:sz w:val="22"/>
          <w:szCs w:val="22"/>
        </w:rPr>
        <w:t>lived experience</w:t>
      </w:r>
      <w:r w:rsidRPr="00250ABF">
        <w:rPr>
          <w:rFonts w:asciiTheme="minorHAnsi" w:hAnsiTheme="minorHAnsi" w:cstheme="minorHAnsi"/>
          <w:color w:val="2D2D2D"/>
          <w:sz w:val="22"/>
          <w:szCs w:val="22"/>
        </w:rPr>
        <w:t>" </w:t>
      </w:r>
      <w:r w:rsidRPr="00250ABF">
        <w:rPr>
          <w:rFonts w:asciiTheme="minorHAnsi" w:hAnsiTheme="minorHAnsi" w:cstheme="minorHAnsi"/>
          <w:b/>
          <w:bCs/>
          <w:color w:val="2D2D2D"/>
          <w:sz w:val="22"/>
          <w:szCs w:val="22"/>
        </w:rPr>
        <w:t>(personal experience of recovery from mental health, substance use, or trauma conditions who receive specialized training and supervision to guide and support others who are experiencing similar mental health, substance use or trauma issues toward increased wellness</w:t>
      </w:r>
      <w:r w:rsidRPr="00250ABF">
        <w:rPr>
          <w:rFonts w:asciiTheme="minorHAnsi" w:hAnsiTheme="minorHAnsi" w:cstheme="minorHAnsi"/>
          <w:color w:val="2D2D2D"/>
          <w:sz w:val="22"/>
          <w:szCs w:val="22"/>
        </w:rPr>
        <w:t>). He or she may offer ideas or wisdom gained through his or her personal experiences to inspire hope, support personal responsibility, promote understanding, offer education, and promote self-advocacy and self-determination. Peer Mentor's provide highly individualized services in the community and promote client self-determination and decision-making. Peer Mentors have the ability to build trust and relationships with individuals in the program.</w:t>
      </w:r>
    </w:p>
    <w:p w14:paraId="7A21FA30" w14:textId="77777777" w:rsidR="00250ABF" w:rsidRPr="00250ABF" w:rsidRDefault="00250ABF" w:rsidP="00250ABF">
      <w:pPr>
        <w:pStyle w:val="paragraph"/>
        <w:spacing w:after="0"/>
        <w:textAlignment w:val="baseline"/>
        <w:rPr>
          <w:rFonts w:asciiTheme="minorHAnsi" w:hAnsiTheme="minorHAnsi" w:cstheme="minorHAnsi"/>
          <w:color w:val="2D2D2D"/>
          <w:sz w:val="22"/>
          <w:szCs w:val="22"/>
          <w:u w:val="single"/>
        </w:rPr>
      </w:pPr>
      <w:r w:rsidRPr="00250ABF">
        <w:rPr>
          <w:rFonts w:asciiTheme="minorHAnsi" w:hAnsiTheme="minorHAnsi" w:cstheme="minorHAnsi"/>
          <w:b/>
          <w:bCs/>
          <w:color w:val="2D2D2D"/>
          <w:sz w:val="22"/>
          <w:szCs w:val="22"/>
          <w:u w:val="single"/>
        </w:rPr>
        <w:t>Goals:</w:t>
      </w:r>
    </w:p>
    <w:p w14:paraId="048809DD" w14:textId="77777777" w:rsidR="00250ABF" w:rsidRPr="00250ABF" w:rsidRDefault="00250ABF" w:rsidP="00250ABF">
      <w:pPr>
        <w:pStyle w:val="paragraph"/>
        <w:numPr>
          <w:ilvl w:val="0"/>
          <w:numId w:val="8"/>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Be part of a field-based team that supports the crisis team throughout the community.</w:t>
      </w:r>
    </w:p>
    <w:p w14:paraId="71EF11AA" w14:textId="77777777" w:rsidR="00250ABF" w:rsidRPr="00250ABF" w:rsidRDefault="00250ABF" w:rsidP="00250ABF">
      <w:pPr>
        <w:pStyle w:val="paragraph"/>
        <w:numPr>
          <w:ilvl w:val="0"/>
          <w:numId w:val="8"/>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Meet productivity level as defined by The Priority Center and AIHCS management.</w:t>
      </w:r>
    </w:p>
    <w:p w14:paraId="7B85914D" w14:textId="77777777" w:rsidR="00250ABF" w:rsidRPr="00250ABF" w:rsidRDefault="00250ABF" w:rsidP="00250ABF">
      <w:pPr>
        <w:pStyle w:val="paragraph"/>
        <w:numPr>
          <w:ilvl w:val="0"/>
          <w:numId w:val="8"/>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Complete documentation as required by Program Director and/or Program Supervisor in a timely manner and meets the standards of the County of Orange Health Care Agency (HCA), HIPPA, Medi-Cal and other funding sources.</w:t>
      </w:r>
    </w:p>
    <w:p w14:paraId="595ECAB0" w14:textId="77777777" w:rsidR="00250ABF" w:rsidRDefault="00250ABF" w:rsidP="00250ABF">
      <w:pPr>
        <w:pStyle w:val="paragraph"/>
        <w:spacing w:after="0"/>
        <w:textAlignment w:val="baseline"/>
        <w:rPr>
          <w:rFonts w:asciiTheme="minorHAnsi" w:hAnsiTheme="minorHAnsi" w:cstheme="minorHAnsi"/>
          <w:b/>
          <w:bCs/>
          <w:color w:val="2D2D2D"/>
          <w:sz w:val="22"/>
          <w:szCs w:val="22"/>
        </w:rPr>
      </w:pPr>
    </w:p>
    <w:p w14:paraId="283DE9A8" w14:textId="77777777" w:rsidR="00250ABF" w:rsidRDefault="00250ABF" w:rsidP="00250ABF">
      <w:pPr>
        <w:pStyle w:val="paragraph"/>
        <w:spacing w:after="0"/>
        <w:textAlignment w:val="baseline"/>
        <w:rPr>
          <w:rFonts w:asciiTheme="minorHAnsi" w:hAnsiTheme="minorHAnsi" w:cstheme="minorHAnsi"/>
          <w:b/>
          <w:bCs/>
          <w:color w:val="2D2D2D"/>
          <w:sz w:val="22"/>
          <w:szCs w:val="22"/>
        </w:rPr>
      </w:pPr>
    </w:p>
    <w:p w14:paraId="4E244290" w14:textId="2492A12C" w:rsidR="00250ABF" w:rsidRPr="00250ABF" w:rsidRDefault="00250ABF" w:rsidP="00250ABF">
      <w:pPr>
        <w:pStyle w:val="paragraph"/>
        <w:spacing w:after="0"/>
        <w:textAlignment w:val="baseline"/>
        <w:rPr>
          <w:rFonts w:asciiTheme="minorHAnsi" w:hAnsiTheme="minorHAnsi" w:cstheme="minorHAnsi"/>
          <w:color w:val="2D2D2D"/>
          <w:sz w:val="22"/>
          <w:szCs w:val="22"/>
          <w:u w:val="single"/>
        </w:rPr>
      </w:pPr>
      <w:r w:rsidRPr="00250ABF">
        <w:rPr>
          <w:rFonts w:asciiTheme="minorHAnsi" w:hAnsiTheme="minorHAnsi" w:cstheme="minorHAnsi"/>
          <w:b/>
          <w:bCs/>
          <w:color w:val="2D2D2D"/>
          <w:sz w:val="22"/>
          <w:szCs w:val="22"/>
          <w:u w:val="single"/>
        </w:rPr>
        <w:lastRenderedPageBreak/>
        <w:t>Essential Duties and Responsibilities:</w:t>
      </w:r>
    </w:p>
    <w:p w14:paraId="601A776F"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Provide crisis intervention and critical safety management services primarily in the home/field to accommodate the client’s schedule.</w:t>
      </w:r>
    </w:p>
    <w:p w14:paraId="7264D774"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Provide support to the client to help them cope with stressors related to serious emotional disturbance.</w:t>
      </w:r>
    </w:p>
    <w:p w14:paraId="21AA8031"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Identify resources of interest and empower the client, as well as identify and address barriers to utilizing resources.</w:t>
      </w:r>
    </w:p>
    <w:p w14:paraId="2504A5CE"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Consult, confer and coordinate with referring and other community agencies and resources to advocate for the mental health needs of the adult/family.</w:t>
      </w:r>
    </w:p>
    <w:p w14:paraId="3E5986AF"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Provide rehabilitation services as need to improve, maintain and restore functioning including, but not limited to, social skills, impulse control, coping skills and communication.</w:t>
      </w:r>
    </w:p>
    <w:p w14:paraId="0B90BFEB"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Provide education as needed including, but not limited to, safety planning, setting limits, behavioral contracts and communication.</w:t>
      </w:r>
    </w:p>
    <w:p w14:paraId="4B1F53C4"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Assisting the adult/family in identifying their natural supports, and in the absence of natural supports, investigate surrogate supports.</w:t>
      </w:r>
    </w:p>
    <w:p w14:paraId="0BDD654A"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Assist the client in identifying their own strengths and the strengths of their support system.</w:t>
      </w:r>
    </w:p>
    <w:p w14:paraId="47838E9D" w14:textId="77777777" w:rsidR="00250ABF" w:rsidRPr="00250ABF" w:rsidRDefault="00250ABF" w:rsidP="00250ABF">
      <w:pPr>
        <w:pStyle w:val="paragraph"/>
        <w:numPr>
          <w:ilvl w:val="0"/>
          <w:numId w:val="9"/>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Document all services provided for HCA contract compliance</w:t>
      </w:r>
    </w:p>
    <w:p w14:paraId="1D0308DC" w14:textId="77777777" w:rsidR="00250ABF" w:rsidRPr="00250ABF" w:rsidRDefault="00250ABF" w:rsidP="00250ABF">
      <w:pPr>
        <w:pStyle w:val="paragraph"/>
        <w:spacing w:after="0"/>
        <w:textAlignment w:val="baseline"/>
        <w:rPr>
          <w:rFonts w:asciiTheme="minorHAnsi" w:hAnsiTheme="minorHAnsi" w:cstheme="minorHAnsi"/>
          <w:color w:val="2D2D2D"/>
          <w:sz w:val="22"/>
          <w:szCs w:val="22"/>
          <w:u w:val="single"/>
        </w:rPr>
      </w:pPr>
      <w:r w:rsidRPr="00250ABF">
        <w:rPr>
          <w:rFonts w:asciiTheme="minorHAnsi" w:hAnsiTheme="minorHAnsi" w:cstheme="minorHAnsi"/>
          <w:b/>
          <w:bCs/>
          <w:color w:val="2D2D2D"/>
          <w:sz w:val="22"/>
          <w:szCs w:val="22"/>
          <w:u w:val="single"/>
        </w:rPr>
        <w:t>Supervisor Relationship:</w:t>
      </w:r>
    </w:p>
    <w:p w14:paraId="1877A203" w14:textId="77777777" w:rsidR="00250ABF" w:rsidRPr="00250ABF" w:rsidRDefault="00250ABF" w:rsidP="00250ABF">
      <w:pPr>
        <w:pStyle w:val="paragraph"/>
        <w:spacing w:after="0"/>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Supervised by the Program Director and/or Program Supervisor</w:t>
      </w:r>
    </w:p>
    <w:p w14:paraId="408F0882" w14:textId="77777777" w:rsidR="00250ABF" w:rsidRPr="00250ABF" w:rsidRDefault="00250ABF" w:rsidP="00250ABF">
      <w:pPr>
        <w:pStyle w:val="paragraph"/>
        <w:spacing w:after="0"/>
        <w:textAlignment w:val="baseline"/>
        <w:rPr>
          <w:rFonts w:asciiTheme="minorHAnsi" w:hAnsiTheme="minorHAnsi" w:cstheme="minorHAnsi"/>
          <w:color w:val="2D2D2D"/>
          <w:sz w:val="22"/>
          <w:szCs w:val="22"/>
          <w:u w:val="single"/>
        </w:rPr>
      </w:pPr>
      <w:r w:rsidRPr="00250ABF">
        <w:rPr>
          <w:rFonts w:asciiTheme="minorHAnsi" w:hAnsiTheme="minorHAnsi" w:cstheme="minorHAnsi"/>
          <w:b/>
          <w:bCs/>
          <w:color w:val="2D2D2D"/>
          <w:sz w:val="22"/>
          <w:szCs w:val="22"/>
          <w:u w:val="single"/>
        </w:rPr>
        <w:t>Position Qualifications:</w:t>
      </w:r>
    </w:p>
    <w:p w14:paraId="4A463EA4"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High school diploma or GED and 3 years of experience working with adults with behavioral health concerns OR Bachelor’s degree in Social Work, Psychology, Sociology or related field, and demonstrated skills in working with adults in behavioral health.</w:t>
      </w:r>
    </w:p>
    <w:p w14:paraId="03DDE423"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Consumer of Behavioral Health Services defined as persons with a history of being direct consumers of behavioral health service or individuals with lived experience (i.e. living with a relative, significant other who is a consumer of behavioral health services)</w:t>
      </w:r>
    </w:p>
    <w:p w14:paraId="7285BBEC"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Experience working with adults in the behavioral health field is required</w:t>
      </w:r>
    </w:p>
    <w:p w14:paraId="0F874932"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Access to reliable transportation</w:t>
      </w:r>
    </w:p>
    <w:p w14:paraId="540FAB66"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Live Scan fingerprinting required</w:t>
      </w:r>
    </w:p>
    <w:p w14:paraId="782F56A5" w14:textId="77777777" w:rsidR="00250ABF" w:rsidRPr="00250ABF" w:rsidRDefault="00250ABF" w:rsidP="00250ABF">
      <w:pPr>
        <w:pStyle w:val="paragraph"/>
        <w:numPr>
          <w:ilvl w:val="0"/>
          <w:numId w:val="10"/>
        </w:numPr>
        <w:textAlignment w:val="baseline"/>
        <w:rPr>
          <w:rFonts w:asciiTheme="minorHAnsi" w:hAnsiTheme="minorHAnsi" w:cstheme="minorHAnsi"/>
          <w:color w:val="2D2D2D"/>
          <w:sz w:val="22"/>
          <w:szCs w:val="22"/>
        </w:rPr>
      </w:pPr>
      <w:r w:rsidRPr="00250ABF">
        <w:rPr>
          <w:rFonts w:asciiTheme="minorHAnsi" w:hAnsiTheme="minorHAnsi" w:cstheme="minorHAnsi"/>
          <w:color w:val="2D2D2D"/>
          <w:sz w:val="22"/>
          <w:szCs w:val="22"/>
        </w:rPr>
        <w:t>Bilingual Spanish desirable</w:t>
      </w:r>
    </w:p>
    <w:p w14:paraId="0D5BB550" w14:textId="77777777" w:rsidR="00EE7AE2"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40E0DBC4" w:rsid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Pr>
          <w:rStyle w:val="eop"/>
          <w:rFonts w:asciiTheme="minorHAnsi" w:hAnsiTheme="minorHAnsi" w:cstheme="minorHAnsi"/>
          <w:b/>
          <w:sz w:val="22"/>
          <w:szCs w:val="22"/>
          <w:u w:val="single"/>
        </w:rPr>
        <w:t>To Apply/Contact Information:</w:t>
      </w:r>
    </w:p>
    <w:p w14:paraId="47F4DD7D" w14:textId="76B15763" w:rsidR="008A391E" w:rsidRPr="008A391E"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8A391E">
        <w:rPr>
          <w:rStyle w:val="eop"/>
          <w:rFonts w:asciiTheme="minorHAnsi" w:hAnsiTheme="minorHAnsi" w:cstheme="minorHAnsi"/>
          <w:sz w:val="22"/>
          <w:szCs w:val="22"/>
        </w:rPr>
        <w:t xml:space="preserve">Current interested applicants please submit </w:t>
      </w:r>
      <w:r>
        <w:rPr>
          <w:rStyle w:val="eop"/>
          <w:rFonts w:asciiTheme="minorHAnsi" w:hAnsiTheme="minorHAnsi" w:cstheme="minorHAnsi"/>
          <w:sz w:val="22"/>
          <w:szCs w:val="22"/>
        </w:rPr>
        <w:t>current resume</w:t>
      </w:r>
      <w:r w:rsidRPr="008A391E">
        <w:rPr>
          <w:rStyle w:val="eop"/>
          <w:rFonts w:asciiTheme="minorHAnsi" w:hAnsiTheme="minorHAnsi" w:cstheme="minorHAnsi"/>
          <w:sz w:val="22"/>
          <w:szCs w:val="22"/>
        </w:rPr>
        <w:t xml:space="preserve"> to: </w:t>
      </w:r>
      <w:hyperlink r:id="rId11" w:history="1">
        <w:r w:rsidRPr="00E1521E">
          <w:rPr>
            <w:rStyle w:val="Hyperlink"/>
            <w:rFonts w:asciiTheme="minorHAnsi" w:hAnsiTheme="minorHAnsi" w:cstheme="minorHAnsi"/>
            <w:b/>
            <w:sz w:val="22"/>
            <w:szCs w:val="22"/>
          </w:rPr>
          <w:t>HR@theprioritycenter.org</w:t>
        </w:r>
      </w:hyperlink>
      <w:r>
        <w:rPr>
          <w:rStyle w:val="eop"/>
          <w:rFonts w:asciiTheme="minorHAnsi" w:hAnsiTheme="minorHAnsi" w:cstheme="minorHAnsi"/>
          <w:b/>
          <w:sz w:val="22"/>
          <w:szCs w:val="22"/>
        </w:rPr>
        <w:tab/>
      </w:r>
    </w:p>
    <w:p w14:paraId="17277DEC" w14:textId="77777777" w:rsidR="008A391E"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bookmarkEnd w:id="1"/>
    <w:p w14:paraId="18E1D785" w14:textId="6A398F3F" w:rsidR="00BB0704" w:rsidRPr="00EE7AE2" w:rsidRDefault="00BB0704" w:rsidP="00EE7AE2">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p>
    <w:sectPr w:rsidR="00BB0704" w:rsidRPr="00EE7AE2" w:rsidSect="003041CB">
      <w:headerReference w:type="default" r:id="rId12"/>
      <w:footerReference w:type="even"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1E8" w14:textId="77777777" w:rsidR="00435726" w:rsidRPr="00BD348A" w:rsidRDefault="00435726" w:rsidP="00435726">
    <w:pPr>
      <w:pStyle w:val="TPCFtr1Ital"/>
      <w:rPr>
        <w:rFonts w:asciiTheme="minorHAnsi" w:hAnsiTheme="minorHAnsi" w:cstheme="minorHAnsi"/>
        <w:color w:val="002060"/>
      </w:rPr>
    </w:pPr>
    <w:r>
      <w:tab/>
    </w:r>
    <w:r w:rsidRPr="00BD348A">
      <w:rPr>
        <w:rFonts w:asciiTheme="minorHAnsi" w:hAnsiTheme="minorHAnsi" w:cstheme="minorHAnsi"/>
        <w:color w:val="002060"/>
      </w:rPr>
      <w:t>Ending the cycle of generational trauma</w:t>
    </w:r>
  </w:p>
  <w:p w14:paraId="627F0AAA" w14:textId="77777777" w:rsidR="00435726" w:rsidRPr="00BD348A" w:rsidRDefault="00435726" w:rsidP="00435726">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3EC8FF7D" w14:textId="77777777" w:rsidR="00435726" w:rsidRPr="00BD348A" w:rsidRDefault="00435726" w:rsidP="00435726">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59F121D2" w14:textId="77777777" w:rsidR="00F717BE" w:rsidRPr="00435726" w:rsidRDefault="00A5663F"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A5663F" w:rsidP="008D189D">
    <w:pPr>
      <w:tabs>
        <w:tab w:val="left" w:pos="1440"/>
        <w:tab w:val="left" w:pos="5940"/>
      </w:tabs>
      <w:rPr>
        <w:rFonts w:ascii="Arial" w:hAnsi="Arial" w:cs="Arial"/>
        <w:sz w:val="22"/>
        <w:szCs w:val="22"/>
      </w:rPr>
    </w:pPr>
  </w:p>
  <w:p w14:paraId="3A1315F8" w14:textId="77777777" w:rsidR="00F717BE" w:rsidRDefault="00A56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66A"/>
    <w:multiLevelType w:val="multilevel"/>
    <w:tmpl w:val="EBC4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C5ED3"/>
    <w:multiLevelType w:val="multilevel"/>
    <w:tmpl w:val="444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B00C19"/>
    <w:multiLevelType w:val="hybridMultilevel"/>
    <w:tmpl w:val="BA0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12AE6"/>
    <w:multiLevelType w:val="hybridMultilevel"/>
    <w:tmpl w:val="0DB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915C4"/>
    <w:multiLevelType w:val="multilevel"/>
    <w:tmpl w:val="4FD06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9376C"/>
    <w:multiLevelType w:val="multilevel"/>
    <w:tmpl w:val="D5BC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C1AF7"/>
    <w:multiLevelType w:val="multilevel"/>
    <w:tmpl w:val="7BC0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87DE2"/>
    <w:multiLevelType w:val="multilevel"/>
    <w:tmpl w:val="2B96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7247D"/>
    <w:multiLevelType w:val="multilevel"/>
    <w:tmpl w:val="3540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10972"/>
    <w:multiLevelType w:val="hybridMultilevel"/>
    <w:tmpl w:val="11C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0"/>
  </w:num>
  <w:num w:numId="5">
    <w:abstractNumId w:val="5"/>
  </w:num>
  <w:num w:numId="6">
    <w:abstractNumId w:val="8"/>
  </w:num>
  <w:num w:numId="7">
    <w:abstractNumId w:val="1"/>
  </w:num>
  <w:num w:numId="8">
    <w:abstractNumId w:val="6"/>
  </w:num>
  <w:num w:numId="9">
    <w:abstractNumId w:val="4"/>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87359"/>
    <w:rsid w:val="002312F6"/>
    <w:rsid w:val="00250ABF"/>
    <w:rsid w:val="003041CB"/>
    <w:rsid w:val="00310CFA"/>
    <w:rsid w:val="00370B5C"/>
    <w:rsid w:val="003F032D"/>
    <w:rsid w:val="00435726"/>
    <w:rsid w:val="00477014"/>
    <w:rsid w:val="005E10EE"/>
    <w:rsid w:val="00731D29"/>
    <w:rsid w:val="00781289"/>
    <w:rsid w:val="008A391E"/>
    <w:rsid w:val="008F69F1"/>
    <w:rsid w:val="00901A6E"/>
    <w:rsid w:val="00A5663F"/>
    <w:rsid w:val="00A94236"/>
    <w:rsid w:val="00AA6641"/>
    <w:rsid w:val="00B45D41"/>
    <w:rsid w:val="00BB0704"/>
    <w:rsid w:val="00BD348A"/>
    <w:rsid w:val="00C175E0"/>
    <w:rsid w:val="00C37938"/>
    <w:rsid w:val="00C958E3"/>
    <w:rsid w:val="00D35071"/>
    <w:rsid w:val="00D41598"/>
    <w:rsid w:val="00D669E2"/>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826702945">
      <w:bodyDiv w:val="1"/>
      <w:marLeft w:val="0"/>
      <w:marRight w:val="0"/>
      <w:marTop w:val="0"/>
      <w:marBottom w:val="0"/>
      <w:divBdr>
        <w:top w:val="none" w:sz="0" w:space="0" w:color="auto"/>
        <w:left w:val="none" w:sz="0" w:space="0" w:color="auto"/>
        <w:bottom w:val="none" w:sz="0" w:space="0" w:color="auto"/>
        <w:right w:val="none" w:sz="0" w:space="0" w:color="auto"/>
      </w:divBdr>
    </w:div>
    <w:div w:id="1025911214">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06D589698E544C9E6B1E2583F68FEF" ma:contentTypeVersion="9" ma:contentTypeDescription="Create a new document." ma:contentTypeScope="" ma:versionID="231e968cc46931e402a6c378ba2a1ecb">
  <xsd:schema xmlns:xsd="http://www.w3.org/2001/XMLSchema" xmlns:xs="http://www.w3.org/2001/XMLSchema" xmlns:p="http://schemas.microsoft.com/office/2006/metadata/properties" xmlns:ns3="17405644-1e89-4628-834a-844e24c5f578" targetNamespace="http://schemas.microsoft.com/office/2006/metadata/properties" ma:root="true" ma:fieldsID="300df46fc74ba5546e29cc1768b2bf5e" ns3:_="">
    <xsd:import namespace="17405644-1e89-4628-834a-844e24c5f5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05644-1e89-4628-834a-844e24c5f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2.xml><?xml version="1.0" encoding="utf-8"?>
<ds:datastoreItem xmlns:ds="http://schemas.openxmlformats.org/officeDocument/2006/customXml" ds:itemID="{C9888492-2BCD-4035-9234-88F0ACB3B5B1}">
  <ds:schemaRef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17405644-1e89-4628-834a-844e24c5f578"/>
  </ds:schemaRefs>
</ds:datastoreItem>
</file>

<file path=customXml/itemProps3.xml><?xml version="1.0" encoding="utf-8"?>
<ds:datastoreItem xmlns:ds="http://schemas.openxmlformats.org/officeDocument/2006/customXml" ds:itemID="{1D298056-C7F8-4716-82A5-008FE09D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05644-1e89-4628-834a-844e24c5f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BC6DC-1D66-4F93-B6B7-3017E1F7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Allison Binder</cp:lastModifiedBy>
  <cp:revision>2</cp:revision>
  <cp:lastPrinted>2021-03-02T23:43:00Z</cp:lastPrinted>
  <dcterms:created xsi:type="dcterms:W3CDTF">2021-11-16T19:24:00Z</dcterms:created>
  <dcterms:modified xsi:type="dcterms:W3CDTF">2021-11-16T19:24:00Z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0x0101002A06D589698E544C9E6B1E2583F68FEF</vt:lpwstr>
  </property>
</Properties>
</file>